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68FE88B7" w:rsidR="00420A38" w:rsidRPr="007A395D" w:rsidRDefault="00420A38" w:rsidP="000049D8">
      <w:pPr>
        <w:pStyle w:val="Header"/>
        <w:tabs>
          <w:tab w:val="clear" w:pos="9639"/>
          <w:tab w:val="right" w:pos="5954"/>
        </w:tabs>
        <w:spacing w:after="240"/>
        <w:jc w:val="right"/>
        <w:rPr>
          <w:rFonts w:ascii="Calibri" w:hAnsi="Calibri"/>
          <w:lang w:eastAsia="ko-KR"/>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361C9E">
        <w:rPr>
          <w:rFonts w:ascii="Calibri" w:hAnsi="Calibri"/>
          <w:lang w:eastAsia="ko-KR"/>
        </w:rPr>
        <w:t>PAP56-2.3.1</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EAC61B0" w:rsidR="0080294B" w:rsidRPr="007A395D" w:rsidRDefault="00394293" w:rsidP="00037DF4">
      <w:pPr>
        <w:pStyle w:val="BodyText"/>
        <w:tabs>
          <w:tab w:val="left" w:pos="1843"/>
        </w:tabs>
        <w:rPr>
          <w:rFonts w:ascii="Calibri" w:hAnsi="Calibri" w:cs="Arial"/>
          <w:b/>
          <w:sz w:val="24"/>
          <w:szCs w:val="24"/>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91760D">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0205EE">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78151897" w:rsidR="0080294B" w:rsidRPr="007A395D" w:rsidRDefault="00394293" w:rsidP="00037DF4">
      <w:pPr>
        <w:pStyle w:val="BodyText"/>
        <w:tabs>
          <w:tab w:val="left" w:pos="1843"/>
        </w:tabs>
        <w:rPr>
          <w:rFonts w:ascii="Calibri" w:hAnsi="Calibri"/>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69FA402F"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361C9E">
        <w:rPr>
          <w:rFonts w:ascii="Calibri" w:hAnsi="Calibri"/>
        </w:rPr>
        <w:t>2.3</w:t>
      </w:r>
    </w:p>
    <w:p w14:paraId="01FC5420" w14:textId="16B7C898" w:rsidR="00362CD9"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94293">
        <w:rPr>
          <w:rFonts w:ascii="Calibri" w:hAnsi="Calibri"/>
        </w:rPr>
        <w:t>Secretariat</w:t>
      </w:r>
    </w:p>
    <w:p w14:paraId="15987293" w14:textId="77777777" w:rsidR="006F46B5" w:rsidRPr="007A395D" w:rsidRDefault="006F46B5" w:rsidP="00FE5674">
      <w:pPr>
        <w:pStyle w:val="BodyText"/>
        <w:tabs>
          <w:tab w:val="left" w:pos="2835"/>
        </w:tabs>
        <w:rPr>
          <w:rFonts w:ascii="Calibri" w:hAnsi="Calibri"/>
          <w:color w:val="FF0000"/>
        </w:rPr>
      </w:pPr>
    </w:p>
    <w:p w14:paraId="4834080C" w14:textId="41C47868" w:rsidR="00A446C9" w:rsidRPr="00605E43" w:rsidRDefault="00394293" w:rsidP="00A446C9">
      <w:pPr>
        <w:pStyle w:val="Title"/>
        <w:rPr>
          <w:rFonts w:ascii="Calibri" w:hAnsi="Calibri"/>
          <w:color w:val="0070C0"/>
          <w:lang w:eastAsia="ko-KR"/>
        </w:rPr>
      </w:pPr>
      <w:r>
        <w:rPr>
          <w:rFonts w:ascii="Calibri" w:hAnsi="Calibri"/>
          <w:color w:val="0070C0"/>
        </w:rPr>
        <w:t xml:space="preserve">Report on IMO </w:t>
      </w:r>
      <w:r w:rsidR="00662239">
        <w:rPr>
          <w:rFonts w:ascii="Calibri" w:hAnsi="Calibri" w:hint="eastAsia"/>
          <w:color w:val="0070C0"/>
          <w:lang w:eastAsia="ko-KR"/>
        </w:rPr>
        <w:t>MSC 10</w:t>
      </w:r>
      <w:r w:rsidR="00CC28BF">
        <w:rPr>
          <w:rFonts w:ascii="Calibri" w:hAnsi="Calibri" w:hint="eastAsia"/>
          <w:color w:val="0070C0"/>
          <w:lang w:eastAsia="ko-KR"/>
        </w:rPr>
        <w:t>9</w:t>
      </w:r>
    </w:p>
    <w:p w14:paraId="0F258596" w14:textId="7FCEB930" w:rsidR="00A446C9" w:rsidRPr="00605E43" w:rsidRDefault="00394293" w:rsidP="00605E43">
      <w:pPr>
        <w:pStyle w:val="Heading1"/>
      </w:pPr>
      <w:r>
        <w:t>Introduction</w:t>
      </w:r>
    </w:p>
    <w:p w14:paraId="0AE72BA0" w14:textId="4FBED7CF" w:rsidR="00875A8E" w:rsidRPr="00875A8E" w:rsidRDefault="00875A8E" w:rsidP="00875A8E">
      <w:pPr>
        <w:pStyle w:val="BodyText"/>
        <w:rPr>
          <w:rFonts w:ascii="Calibri" w:hAnsi="Calibri"/>
          <w:lang w:eastAsia="ko-KR"/>
        </w:rPr>
      </w:pPr>
      <w:r w:rsidRPr="00875A8E">
        <w:rPr>
          <w:rFonts w:ascii="Calibri" w:hAnsi="Calibri"/>
          <w:lang w:eastAsia="ko-KR"/>
        </w:rPr>
        <w:t>This report provides a</w:t>
      </w:r>
      <w:r>
        <w:rPr>
          <w:rFonts w:ascii="Calibri" w:hAnsi="Calibri" w:hint="eastAsia"/>
          <w:lang w:eastAsia="ko-KR"/>
        </w:rPr>
        <w:t>n</w:t>
      </w:r>
      <w:r w:rsidRPr="00875A8E">
        <w:rPr>
          <w:rFonts w:ascii="Calibri" w:hAnsi="Calibri"/>
          <w:lang w:eastAsia="ko-KR"/>
        </w:rPr>
        <w:t xml:space="preserve"> overview of key outcomes from the 109th session of the </w:t>
      </w:r>
      <w:r>
        <w:rPr>
          <w:rFonts w:ascii="Calibri" w:hAnsi="Calibri" w:hint="eastAsia"/>
          <w:lang w:eastAsia="ko-KR"/>
        </w:rPr>
        <w:t xml:space="preserve">IMO </w:t>
      </w:r>
      <w:r w:rsidRPr="00875A8E">
        <w:rPr>
          <w:rFonts w:ascii="Calibri" w:hAnsi="Calibri"/>
          <w:lang w:eastAsia="ko-KR"/>
        </w:rPr>
        <w:t xml:space="preserve">MSC 109, held from 2 to 6 December 2024, at the IMO Headquarters in London. The session was chaired by Mrs. Mayte Medina of the United States, with Vice-Chair Capt. Theofilos </w:t>
      </w:r>
      <w:proofErr w:type="spellStart"/>
      <w:r w:rsidRPr="00875A8E">
        <w:rPr>
          <w:rFonts w:ascii="Calibri" w:hAnsi="Calibri"/>
          <w:lang w:eastAsia="ko-KR"/>
        </w:rPr>
        <w:t>Mozas</w:t>
      </w:r>
      <w:proofErr w:type="spellEnd"/>
      <w:r w:rsidRPr="00875A8E">
        <w:rPr>
          <w:rFonts w:ascii="Calibri" w:hAnsi="Calibri"/>
          <w:lang w:eastAsia="ko-KR"/>
        </w:rPr>
        <w:t xml:space="preserve"> of Greece. </w:t>
      </w:r>
      <w:r>
        <w:rPr>
          <w:rFonts w:ascii="Calibri" w:hAnsi="Calibri" w:hint="eastAsia"/>
          <w:lang w:eastAsia="ko-KR"/>
        </w:rPr>
        <w:t>IALA</w:t>
      </w:r>
      <w:r w:rsidRPr="00875A8E">
        <w:rPr>
          <w:rFonts w:ascii="Calibri" w:hAnsi="Calibri"/>
          <w:lang w:eastAsia="ko-KR"/>
        </w:rPr>
        <w:t xml:space="preserve"> was represented by Minsu Jeon and Alisa Nechyporuk.</w:t>
      </w:r>
    </w:p>
    <w:p w14:paraId="61814987" w14:textId="77777777" w:rsidR="00875A8E" w:rsidRPr="00875A8E" w:rsidRDefault="00875A8E" w:rsidP="00875A8E">
      <w:pPr>
        <w:pStyle w:val="BodyText"/>
        <w:rPr>
          <w:rFonts w:ascii="Calibri" w:hAnsi="Calibri"/>
          <w:lang w:eastAsia="ko-KR"/>
        </w:rPr>
      </w:pPr>
      <w:r w:rsidRPr="00875A8E">
        <w:rPr>
          <w:rFonts w:ascii="Calibri" w:hAnsi="Calibri"/>
          <w:lang w:eastAsia="ko-KR"/>
        </w:rPr>
        <w:t>During this session, IALA co-sponsored the following document:</w:t>
      </w:r>
    </w:p>
    <w:p w14:paraId="76BB0A12" w14:textId="046DD12C" w:rsidR="00424EDC" w:rsidRPr="00081FC9" w:rsidRDefault="00B70096" w:rsidP="00E6611D">
      <w:pPr>
        <w:pStyle w:val="BodyText"/>
        <w:numPr>
          <w:ilvl w:val="0"/>
          <w:numId w:val="18"/>
        </w:numPr>
        <w:rPr>
          <w:rFonts w:asciiTheme="minorHAnsi" w:hAnsiTheme="minorHAnsi" w:cstheme="minorHAnsi"/>
        </w:rPr>
      </w:pPr>
      <w:r w:rsidRPr="00B70096">
        <w:rPr>
          <w:rFonts w:asciiTheme="minorHAnsi" w:hAnsiTheme="minorHAnsi" w:cstheme="minorHAnsi"/>
        </w:rPr>
        <w:t xml:space="preserve">MSC 109-19-3 - Proposal for a new output to realize the full potential of the S-100 </w:t>
      </w:r>
      <w:r>
        <w:rPr>
          <w:rFonts w:asciiTheme="minorHAnsi" w:hAnsiTheme="minorHAnsi" w:cstheme="minorHAnsi" w:hint="eastAsia"/>
          <w:lang w:eastAsia="ko-KR"/>
        </w:rPr>
        <w:t>ECDIS</w:t>
      </w:r>
    </w:p>
    <w:p w14:paraId="53733F03" w14:textId="08AD7F6D" w:rsidR="00A446C9" w:rsidRPr="007A395D" w:rsidRDefault="00081FC9" w:rsidP="00605E43">
      <w:pPr>
        <w:pStyle w:val="Heading1"/>
      </w:pPr>
      <w:r>
        <w:rPr>
          <w:rFonts w:hint="eastAsia"/>
          <w:lang w:eastAsia="ko-KR"/>
        </w:rPr>
        <w:t>Outcomes of the meeting</w:t>
      </w:r>
    </w:p>
    <w:p w14:paraId="2B184162" w14:textId="0DB74057" w:rsidR="004B6F02" w:rsidRPr="004B6F02" w:rsidRDefault="004B6F02" w:rsidP="004B6F02">
      <w:pPr>
        <w:pStyle w:val="BodyText"/>
        <w:rPr>
          <w:rFonts w:ascii="Calibri" w:hAnsi="Calibri"/>
          <w:b/>
          <w:bCs/>
        </w:rPr>
      </w:pPr>
      <w:r w:rsidRPr="004B6F02">
        <w:rPr>
          <w:rFonts w:ascii="Calibri" w:hAnsi="Calibri"/>
          <w:b/>
          <w:bCs/>
        </w:rPr>
        <w:t>Roadmap for the Development of the MASS Code</w:t>
      </w:r>
    </w:p>
    <w:p w14:paraId="35EFF789" w14:textId="5FEE6E5F" w:rsidR="004B6F02" w:rsidRPr="004B6F02" w:rsidRDefault="004B6F02" w:rsidP="004B6F02">
      <w:pPr>
        <w:pStyle w:val="BodyText"/>
        <w:rPr>
          <w:rFonts w:ascii="Calibri" w:hAnsi="Calibri"/>
          <w:lang w:eastAsia="ko-KR"/>
        </w:rPr>
      </w:pPr>
      <w:r w:rsidRPr="004B6F02">
        <w:rPr>
          <w:rFonts w:ascii="Calibri" w:hAnsi="Calibri"/>
          <w:lang w:eastAsia="ko-KR"/>
        </w:rPr>
        <w:t xml:space="preserve">The Committee updated the roadmap for developing a code to regulate Maritime Autonomous Surface Ships (MASS). This initiative aims to ensure the safe integration of autonomous vessels into the maritime industry, addressing technical, operational, and regulatory aspects. </w:t>
      </w:r>
    </w:p>
    <w:p w14:paraId="17FED534" w14:textId="700CCBB6" w:rsidR="005E6CE2" w:rsidRPr="005E6CE2" w:rsidRDefault="005E6CE2" w:rsidP="005E6CE2">
      <w:pPr>
        <w:pStyle w:val="BodyText"/>
        <w:rPr>
          <w:rFonts w:ascii="Calibri" w:hAnsi="Calibri"/>
          <w:b/>
          <w:bCs/>
        </w:rPr>
      </w:pPr>
      <w:r w:rsidRPr="005E6CE2">
        <w:rPr>
          <w:rFonts w:ascii="Calibri" w:hAnsi="Calibri"/>
          <w:b/>
          <w:bCs/>
        </w:rPr>
        <w:t>Data distribution and connectivity of ECDIS using S-100 products</w:t>
      </w:r>
    </w:p>
    <w:p w14:paraId="328B4605" w14:textId="77777777" w:rsidR="00123081" w:rsidRPr="00123081" w:rsidRDefault="00123081" w:rsidP="00123081">
      <w:pPr>
        <w:pStyle w:val="BodyText"/>
        <w:rPr>
          <w:rFonts w:ascii="Calibri" w:hAnsi="Calibri"/>
          <w:lang w:eastAsia="ko-KR"/>
        </w:rPr>
      </w:pPr>
      <w:r w:rsidRPr="00123081">
        <w:rPr>
          <w:rFonts w:ascii="Calibri" w:hAnsi="Calibri"/>
          <w:lang w:eastAsia="ko-KR"/>
        </w:rPr>
        <w:t>The Committee discussed proposals for establishing a framework for data distribution and IP-based connectivity to fully enable the use of S-100 products in ECDIS, noting the urgency of implementation by 1 January 2026. Document MSC 109/19/3, supported broadly, proposed initial guidance, while comments from CIRM, Japan, and the United Kingdom offered additional perspectives. CIRM highlighted industry progress, cautioning against premature revisions to performance standards, while Japan and the United Kingdom emphasized secure connectivity and suggested amendments to SOLAS chapters IV and V.</w:t>
      </w:r>
    </w:p>
    <w:p w14:paraId="240A0902" w14:textId="77777777" w:rsidR="00123081" w:rsidRPr="00123081" w:rsidRDefault="00123081" w:rsidP="00123081">
      <w:pPr>
        <w:pStyle w:val="BodyText"/>
        <w:rPr>
          <w:rFonts w:ascii="Calibri" w:hAnsi="Calibri"/>
          <w:lang w:eastAsia="ko-KR"/>
        </w:rPr>
      </w:pPr>
      <w:r w:rsidRPr="00123081">
        <w:rPr>
          <w:rFonts w:ascii="Calibri" w:hAnsi="Calibri"/>
          <w:lang w:eastAsia="ko-KR"/>
        </w:rPr>
        <w:t>The Committee recalled the NCSR 11 outcomes, including the need to revise ECDIS training (Model Course 1.27) and develop operational guidance for route exchange. Recognizing the importance of a stepwise approach, it was agreed to first develop the proposed guidance on data distribution and IP connectivity, with NCSR tasked for completion by 2026. Consideration of amendments to SOLAS or related instruments will follow once the guidance is finalized.</w:t>
      </w:r>
    </w:p>
    <w:p w14:paraId="6D674DF2" w14:textId="757236F8" w:rsidR="00123081" w:rsidRPr="00123081" w:rsidRDefault="00123081" w:rsidP="00123081">
      <w:pPr>
        <w:pStyle w:val="BodyText"/>
        <w:rPr>
          <w:rFonts w:ascii="Calibri" w:hAnsi="Calibri"/>
          <w:lang w:eastAsia="ko-KR"/>
        </w:rPr>
      </w:pPr>
      <w:r w:rsidRPr="00123081">
        <w:rPr>
          <w:rFonts w:ascii="Calibri" w:hAnsi="Calibri"/>
          <w:lang w:eastAsia="ko-KR"/>
        </w:rPr>
        <w:t>NCSR was authorized to report any urgent developments to MSC 110, and Member States and organizations were invited to submit proposals to address ECDIS competency requirements under the ongoing STCW review.</w:t>
      </w:r>
    </w:p>
    <w:p w14:paraId="1016CB80" w14:textId="77777777" w:rsidR="007A4B82" w:rsidRPr="007A4B82" w:rsidRDefault="007A4B82" w:rsidP="007A4B82">
      <w:pPr>
        <w:pStyle w:val="BodyText"/>
        <w:rPr>
          <w:rFonts w:ascii="Calibri" w:hAnsi="Calibri"/>
          <w:b/>
          <w:bCs/>
        </w:rPr>
      </w:pPr>
      <w:r w:rsidRPr="007A4B82">
        <w:rPr>
          <w:rFonts w:ascii="Calibri" w:hAnsi="Calibri"/>
          <w:b/>
          <w:bCs/>
        </w:rPr>
        <w:t>W</w:t>
      </w:r>
      <w:r w:rsidRPr="007A4B82">
        <w:rPr>
          <w:rFonts w:ascii="Calibri" w:hAnsi="Calibri" w:hint="eastAsia"/>
          <w:b/>
          <w:bCs/>
        </w:rPr>
        <w:t>orkload of the committee and its subsidiary bodies</w:t>
      </w:r>
    </w:p>
    <w:p w14:paraId="3CED8D60" w14:textId="50E05FF9" w:rsidR="00F0010F" w:rsidRPr="00F0010F" w:rsidRDefault="00F0010F" w:rsidP="00F0010F">
      <w:pPr>
        <w:pStyle w:val="BodyText"/>
        <w:rPr>
          <w:rFonts w:ascii="Calibri" w:hAnsi="Calibri"/>
          <w:lang w:eastAsia="ko-KR"/>
        </w:rPr>
      </w:pPr>
      <w:r w:rsidRPr="00F0010F">
        <w:rPr>
          <w:rFonts w:ascii="Calibri" w:hAnsi="Calibri"/>
          <w:lang w:eastAsia="ko-KR"/>
        </w:rPr>
        <w:t xml:space="preserve">During </w:t>
      </w:r>
      <w:r w:rsidR="00F10A65">
        <w:rPr>
          <w:rFonts w:ascii="Calibri" w:hAnsi="Calibri" w:hint="eastAsia"/>
          <w:lang w:eastAsia="ko-KR"/>
        </w:rPr>
        <w:t xml:space="preserve">the </w:t>
      </w:r>
      <w:r w:rsidRPr="00F0010F">
        <w:rPr>
          <w:rFonts w:ascii="Calibri" w:hAnsi="Calibri"/>
          <w:lang w:eastAsia="ko-KR"/>
        </w:rPr>
        <w:t xml:space="preserve">session the Working Group 3 on Workload of the Committee prepared draft amendments to the Committees' method of work (MSC-MEPC.1/Circ.5/Rev.5). The Group developed a definition for the new term "road map" and noted the general support for the establishment of a new standing body, referred to </w:t>
      </w:r>
      <w:r w:rsidRPr="00F0010F">
        <w:rPr>
          <w:rFonts w:ascii="Calibri" w:hAnsi="Calibri"/>
          <w:lang w:eastAsia="ko-KR"/>
        </w:rPr>
        <w:lastRenderedPageBreak/>
        <w:t xml:space="preserve">as the "Group of Chairs", to conduct a preliminary assessment of proposals for new outputs or expansion of the scope of outputs, to assist the Committees in making informed decisions on such proposals. </w:t>
      </w:r>
    </w:p>
    <w:p w14:paraId="7A44DB22" w14:textId="24C4984C" w:rsidR="007A4B82" w:rsidRPr="00F0010F" w:rsidRDefault="00F0010F" w:rsidP="00394293">
      <w:pPr>
        <w:pStyle w:val="BodyText"/>
        <w:rPr>
          <w:rFonts w:ascii="Calibri" w:hAnsi="Calibri"/>
          <w:lang w:eastAsia="ko-KR"/>
        </w:rPr>
      </w:pPr>
      <w:r w:rsidRPr="00F0010F">
        <w:rPr>
          <w:rFonts w:ascii="Calibri" w:hAnsi="Calibri"/>
          <w:lang w:eastAsia="ko-KR"/>
        </w:rPr>
        <w:t>The Group prepared several other modifications to the Committees' Method of Work to, inter alia, address editorials, enhance consistency throughout the document, update procedures by aligning them with current practices and improve the document in general.</w:t>
      </w:r>
    </w:p>
    <w:p w14:paraId="178A13FF" w14:textId="77777777" w:rsidR="00AA6709" w:rsidRPr="00A8120C" w:rsidRDefault="00AA6709" w:rsidP="00AA6709">
      <w:pPr>
        <w:pStyle w:val="BodyText"/>
        <w:rPr>
          <w:rFonts w:ascii="Calibri" w:hAnsi="Calibri"/>
          <w:b/>
          <w:bCs/>
          <w:lang w:eastAsia="ko-KR"/>
        </w:rPr>
      </w:pPr>
      <w:r w:rsidRPr="00A8120C">
        <w:rPr>
          <w:rFonts w:ascii="Calibri" w:hAnsi="Calibri" w:hint="eastAsia"/>
          <w:b/>
          <w:bCs/>
          <w:lang w:eastAsia="ko-KR"/>
        </w:rPr>
        <w:t>IALA MBS (</w:t>
      </w:r>
      <w:r w:rsidRPr="00A8120C">
        <w:rPr>
          <w:rFonts w:ascii="Calibri" w:hAnsi="Calibri"/>
          <w:b/>
          <w:bCs/>
          <w:lang w:eastAsia="ko-KR"/>
        </w:rPr>
        <w:t>SN.1/Circ.297</w:t>
      </w:r>
      <w:r w:rsidRPr="00A8120C">
        <w:rPr>
          <w:rFonts w:ascii="Calibri" w:hAnsi="Calibri" w:hint="eastAsia"/>
          <w:b/>
          <w:bCs/>
          <w:lang w:eastAsia="ko-KR"/>
        </w:rPr>
        <w:t>)</w:t>
      </w:r>
    </w:p>
    <w:p w14:paraId="4782BAC7" w14:textId="2AC5CE16" w:rsidR="001F733C" w:rsidRPr="006F46B5" w:rsidRDefault="00F10A65" w:rsidP="006F46B5">
      <w:pPr>
        <w:pStyle w:val="BodyText"/>
        <w:rPr>
          <w:rFonts w:ascii="Calibri" w:hAnsi="Calibri"/>
          <w:lang w:eastAsia="ko-KR"/>
        </w:rPr>
      </w:pPr>
      <w:r>
        <w:rPr>
          <w:rFonts w:ascii="Calibri" w:hAnsi="Calibri" w:hint="eastAsia"/>
          <w:lang w:eastAsia="ko-KR"/>
        </w:rPr>
        <w:t xml:space="preserve">The committee </w:t>
      </w:r>
      <w:r w:rsidR="001F733C" w:rsidRPr="000D31B5">
        <w:rPr>
          <w:rFonts w:ascii="Calibri" w:hAnsi="Calibri"/>
          <w:lang w:eastAsia="ko-KR"/>
        </w:rPr>
        <w:t>approve</w:t>
      </w:r>
      <w:r>
        <w:rPr>
          <w:rFonts w:ascii="Calibri" w:hAnsi="Calibri" w:hint="eastAsia"/>
          <w:lang w:eastAsia="ko-KR"/>
        </w:rPr>
        <w:t>d</w:t>
      </w:r>
      <w:r w:rsidR="001F733C" w:rsidRPr="000D31B5">
        <w:rPr>
          <w:rFonts w:ascii="Calibri" w:hAnsi="Calibri"/>
          <w:lang w:eastAsia="ko-KR"/>
        </w:rPr>
        <w:t xml:space="preserve"> the draft SN circular on IALA Maritime Buoyage System, revising and revoking SN.1/Circ.297, and the draft SN circular on IALA Risk Management Toolbox for aids to navigation and vessel traffic services, revising and revoking SN.1/Circ.296</w:t>
      </w:r>
      <w:r>
        <w:rPr>
          <w:rFonts w:ascii="Calibri" w:hAnsi="Calibri" w:hint="eastAsia"/>
          <w:lang w:eastAsia="ko-KR"/>
        </w:rPr>
        <w:t>.</w:t>
      </w:r>
    </w:p>
    <w:p w14:paraId="0E2784B6" w14:textId="69FE116D" w:rsidR="001F733C" w:rsidRPr="001F733C" w:rsidRDefault="001F733C" w:rsidP="001F733C">
      <w:pPr>
        <w:pStyle w:val="BodyText"/>
        <w:rPr>
          <w:rFonts w:ascii="Calibri" w:hAnsi="Calibri"/>
          <w:b/>
          <w:bCs/>
          <w:lang w:eastAsia="ko-KR"/>
        </w:rPr>
      </w:pPr>
      <w:r w:rsidRPr="0041066E">
        <w:rPr>
          <w:rFonts w:ascii="Calibri" w:hAnsi="Calibri"/>
          <w:b/>
          <w:bCs/>
          <w:lang w:eastAsia="ko-KR"/>
        </w:rPr>
        <w:t>IALA Risk Management Toolbox</w:t>
      </w:r>
      <w:r w:rsidRPr="009032D3">
        <w:rPr>
          <w:rFonts w:ascii="Calibri" w:hAnsi="Calibri"/>
          <w:b/>
          <w:bCs/>
          <w:lang w:eastAsia="ko-KR"/>
        </w:rPr>
        <w:t xml:space="preserve"> (SN.1/Circ.296)</w:t>
      </w:r>
    </w:p>
    <w:p w14:paraId="4DB22B54" w14:textId="6E684EF8" w:rsidR="00A06552" w:rsidRPr="000D31B5" w:rsidRDefault="00F10A65" w:rsidP="001F733C">
      <w:pPr>
        <w:pStyle w:val="BodyText"/>
        <w:rPr>
          <w:rFonts w:ascii="Calibri" w:hAnsi="Calibri"/>
          <w:lang w:eastAsia="ko-KR"/>
        </w:rPr>
      </w:pPr>
      <w:r>
        <w:rPr>
          <w:rFonts w:ascii="Calibri" w:hAnsi="Calibri" w:hint="eastAsia"/>
          <w:lang w:eastAsia="ko-KR"/>
        </w:rPr>
        <w:t>The committee</w:t>
      </w:r>
      <w:r w:rsidR="001F733C" w:rsidRPr="000D31B5">
        <w:rPr>
          <w:rFonts w:ascii="Calibri" w:hAnsi="Calibri"/>
          <w:lang w:eastAsia="ko-KR"/>
        </w:rPr>
        <w:t xml:space="preserve"> approve</w:t>
      </w:r>
      <w:r>
        <w:rPr>
          <w:rFonts w:ascii="Calibri" w:hAnsi="Calibri" w:hint="eastAsia"/>
          <w:lang w:eastAsia="ko-KR"/>
        </w:rPr>
        <w:t>d</w:t>
      </w:r>
      <w:r w:rsidR="001F733C" w:rsidRPr="000D31B5">
        <w:rPr>
          <w:rFonts w:ascii="Calibri" w:hAnsi="Calibri"/>
          <w:lang w:eastAsia="ko-KR"/>
        </w:rPr>
        <w:t xml:space="preserve"> the draft MSC circular on guidance on the validity of radiocommunications equipment installed and used on ships, to be disseminated as MSC.1/Circ.1460/Rev.5 (paragraph 18.12 and annex 20);</w:t>
      </w:r>
    </w:p>
    <w:p w14:paraId="595BAA93" w14:textId="666F7C1A" w:rsidR="00A06552" w:rsidRPr="000D31B5" w:rsidRDefault="00F10A65" w:rsidP="001F733C">
      <w:pPr>
        <w:pStyle w:val="BodyText"/>
        <w:rPr>
          <w:rFonts w:ascii="Calibri" w:hAnsi="Calibri"/>
          <w:lang w:eastAsia="ko-KR"/>
        </w:rPr>
      </w:pPr>
      <w:r>
        <w:rPr>
          <w:rFonts w:ascii="Calibri" w:hAnsi="Calibri"/>
          <w:lang w:eastAsia="ko-KR"/>
        </w:rPr>
        <w:t>A</w:t>
      </w:r>
      <w:r>
        <w:rPr>
          <w:rFonts w:ascii="Calibri" w:hAnsi="Calibri" w:hint="eastAsia"/>
          <w:lang w:eastAsia="ko-KR"/>
        </w:rPr>
        <w:t xml:space="preserve">lso the committee </w:t>
      </w:r>
      <w:r w:rsidR="00A06552" w:rsidRPr="000D31B5">
        <w:rPr>
          <w:rFonts w:ascii="Calibri" w:hAnsi="Calibri"/>
          <w:lang w:eastAsia="ko-KR"/>
        </w:rPr>
        <w:t>adopt</w:t>
      </w:r>
      <w:r>
        <w:rPr>
          <w:rFonts w:ascii="Calibri" w:hAnsi="Calibri" w:hint="eastAsia"/>
          <w:lang w:eastAsia="ko-KR"/>
        </w:rPr>
        <w:t>ed</w:t>
      </w:r>
      <w:r w:rsidR="00A06552" w:rsidRPr="000D31B5">
        <w:rPr>
          <w:rFonts w:ascii="Calibri" w:hAnsi="Calibri"/>
          <w:lang w:eastAsia="ko-KR"/>
        </w:rPr>
        <w:t xml:space="preserve"> the draft MSC resolution on performance standards for the reception of maritime safety information and search and rescue-related information by MF and HF digital navigational data (NAVDAT) system and draft resolution MSC.509(105)/Rev.1 on provision of radio services for the Global Maritime Distress and Safety System (GMDSS)</w:t>
      </w:r>
      <w:r>
        <w:rPr>
          <w:rFonts w:ascii="Calibri" w:hAnsi="Calibri" w:hint="eastAsia"/>
          <w:lang w:eastAsia="ko-KR"/>
        </w:rPr>
        <w:t>.</w:t>
      </w:r>
    </w:p>
    <w:p w14:paraId="06DF6041" w14:textId="49375BE9" w:rsidR="00905BF1" w:rsidRPr="006F46B5" w:rsidRDefault="00F10A65" w:rsidP="00A45295">
      <w:pPr>
        <w:pStyle w:val="BodyText"/>
        <w:rPr>
          <w:rFonts w:ascii="Calibri" w:hAnsi="Calibri"/>
          <w:lang w:eastAsia="ko-KR"/>
        </w:rPr>
      </w:pPr>
      <w:r>
        <w:rPr>
          <w:rFonts w:ascii="Calibri" w:hAnsi="Calibri"/>
          <w:lang w:eastAsia="ko-KR"/>
        </w:rPr>
        <w:t>A</w:t>
      </w:r>
      <w:r>
        <w:rPr>
          <w:rFonts w:ascii="Calibri" w:hAnsi="Calibri" w:hint="eastAsia"/>
          <w:lang w:eastAsia="ko-KR"/>
        </w:rPr>
        <w:t xml:space="preserve">lso, the committee </w:t>
      </w:r>
      <w:r w:rsidR="00804EAE" w:rsidRPr="000D31B5">
        <w:rPr>
          <w:rFonts w:ascii="Calibri" w:hAnsi="Calibri"/>
          <w:lang w:eastAsia="ko-KR"/>
        </w:rPr>
        <w:t>note</w:t>
      </w:r>
      <w:r>
        <w:rPr>
          <w:rFonts w:ascii="Calibri" w:hAnsi="Calibri" w:hint="eastAsia"/>
          <w:lang w:eastAsia="ko-KR"/>
        </w:rPr>
        <w:t>d</w:t>
      </w:r>
      <w:r w:rsidR="00804EAE" w:rsidRPr="000D31B5">
        <w:rPr>
          <w:rFonts w:ascii="Calibri" w:hAnsi="Calibri"/>
          <w:lang w:eastAsia="ko-KR"/>
        </w:rPr>
        <w:t xml:space="preserve"> the consideration of the Sub-Committee on the identification of measures to improve the security and integrity aspects of AIS and adopt the draft MSC resolution on performance standards for a universal shipborne automatic identification system (AIS), revising annex 3 to resolution MSC.74(69) to enhance security aspects of AIS</w:t>
      </w:r>
      <w:r>
        <w:rPr>
          <w:rFonts w:ascii="Calibri" w:hAnsi="Calibri" w:hint="eastAsia"/>
          <w:lang w:eastAsia="ko-KR"/>
        </w:rPr>
        <w:t>.</w:t>
      </w:r>
    </w:p>
    <w:p w14:paraId="5948F94C" w14:textId="13E918BD" w:rsidR="00CC3E50" w:rsidRPr="00A31ADE" w:rsidRDefault="0027236F" w:rsidP="00A45295">
      <w:pPr>
        <w:pStyle w:val="BodyText"/>
        <w:rPr>
          <w:rFonts w:ascii="Calibri" w:hAnsi="Calibri"/>
          <w:b/>
          <w:bCs/>
          <w:lang w:eastAsia="ko-KR"/>
        </w:rPr>
      </w:pPr>
      <w:r w:rsidRPr="00A31ADE">
        <w:rPr>
          <w:rFonts w:ascii="Calibri" w:hAnsi="Calibri"/>
          <w:b/>
          <w:bCs/>
          <w:lang w:eastAsia="ko-KR"/>
        </w:rPr>
        <w:t>Introduction of digital technology for VHF voice communications</w:t>
      </w:r>
    </w:p>
    <w:p w14:paraId="132E4E6A" w14:textId="77777777" w:rsidR="000E7981" w:rsidRPr="000E7981" w:rsidRDefault="000E7981" w:rsidP="000E7981">
      <w:pPr>
        <w:pStyle w:val="BodyText"/>
        <w:rPr>
          <w:rFonts w:ascii="Calibri" w:hAnsi="Calibri"/>
          <w:lang w:eastAsia="ko-KR"/>
        </w:rPr>
      </w:pPr>
      <w:r w:rsidRPr="000E7981">
        <w:rPr>
          <w:rFonts w:ascii="Calibri" w:hAnsi="Calibri"/>
          <w:lang w:eastAsia="ko-KR"/>
        </w:rPr>
        <w:t>The Committee considered document MSC 109/19, proposing the development of a transition scheme for the introduction of digital technology for Very High Frequency (VHF) voice communications, as an urgent matter, to guide ITU regulatory developments taking into account the implementation impact on shipping.</w:t>
      </w:r>
    </w:p>
    <w:p w14:paraId="72830010" w14:textId="77777777" w:rsidR="000E7981" w:rsidRDefault="000E7981" w:rsidP="000E7981">
      <w:pPr>
        <w:pStyle w:val="BodyText"/>
        <w:rPr>
          <w:rFonts w:ascii="Calibri" w:hAnsi="Calibri"/>
          <w:lang w:eastAsia="ko-KR"/>
        </w:rPr>
      </w:pPr>
      <w:r w:rsidRPr="000E7981">
        <w:rPr>
          <w:rFonts w:ascii="Calibri" w:hAnsi="Calibri"/>
          <w:lang w:eastAsia="ko-KR"/>
        </w:rPr>
        <w:t>Having noted general support for the proposal, the Committee agreed to include in the biennial agenda of the NCSR Sub-Committee for the 2026-2027 biennium and the provisional agenda for NCSR 13 an output on "Development of a transition scheme for the introduction of digital technology for Very High Frequency (VHF) voice communications," with a target completion year of 2027. In this regard, the Committee authorized NCSR 12 to initiate intersessional work on the output in 2025 through the Joint IMO/ITU Experts Group on Maritime Radiocommunication Matters.</w:t>
      </w:r>
    </w:p>
    <w:p w14:paraId="53400DB6" w14:textId="77777777" w:rsidR="00A31ADE" w:rsidRPr="00A31ADE" w:rsidRDefault="00A31ADE" w:rsidP="00A31ADE">
      <w:pPr>
        <w:pStyle w:val="BodyText"/>
        <w:rPr>
          <w:rFonts w:ascii="Calibri" w:hAnsi="Calibri"/>
          <w:lang w:eastAsia="ko-KR"/>
        </w:rPr>
      </w:pPr>
      <w:r w:rsidRPr="00A31ADE">
        <w:rPr>
          <w:rFonts w:ascii="Calibri" w:hAnsi="Calibri"/>
          <w:b/>
          <w:bCs/>
          <w:lang w:eastAsia="ko-KR"/>
        </w:rPr>
        <w:t>Reports of Sub-Committees</w:t>
      </w:r>
    </w:p>
    <w:p w14:paraId="5B5ACED7" w14:textId="77777777" w:rsidR="00A31ADE" w:rsidRPr="00A31ADE" w:rsidRDefault="00A31ADE" w:rsidP="00A31ADE">
      <w:pPr>
        <w:pStyle w:val="BodyText"/>
        <w:rPr>
          <w:rFonts w:ascii="Calibri" w:hAnsi="Calibri"/>
          <w:lang w:eastAsia="ko-KR"/>
        </w:rPr>
      </w:pPr>
      <w:r w:rsidRPr="00A31ADE">
        <w:rPr>
          <w:rFonts w:ascii="Calibri" w:hAnsi="Calibri"/>
          <w:lang w:eastAsia="ko-KR"/>
        </w:rPr>
        <w:t>The Committee approved various provisions from sub-committee reports, including:</w:t>
      </w:r>
    </w:p>
    <w:p w14:paraId="45BDF222" w14:textId="77777777" w:rsidR="00A31ADE" w:rsidRPr="00A31ADE" w:rsidRDefault="00A31ADE" w:rsidP="00A31ADE">
      <w:pPr>
        <w:pStyle w:val="BodyText"/>
        <w:numPr>
          <w:ilvl w:val="0"/>
          <w:numId w:val="26"/>
        </w:numPr>
        <w:rPr>
          <w:rFonts w:ascii="Calibri" w:hAnsi="Calibri"/>
          <w:lang w:eastAsia="ko-KR"/>
        </w:rPr>
      </w:pPr>
      <w:r w:rsidRPr="00A31ADE">
        <w:rPr>
          <w:rFonts w:ascii="Calibri" w:hAnsi="Calibri"/>
          <w:lang w:eastAsia="ko-KR"/>
        </w:rPr>
        <w:t>Descriptions of Maritime Services in the context of e-navigation (MSC.1/Circ.1610/Rev.1).</w:t>
      </w:r>
    </w:p>
    <w:p w14:paraId="22FEEF00" w14:textId="77777777" w:rsidR="00A31ADE" w:rsidRPr="00A31ADE" w:rsidRDefault="00A31ADE" w:rsidP="00A31ADE">
      <w:pPr>
        <w:pStyle w:val="BodyText"/>
        <w:numPr>
          <w:ilvl w:val="0"/>
          <w:numId w:val="26"/>
        </w:numPr>
        <w:rPr>
          <w:rFonts w:ascii="Calibri" w:hAnsi="Calibri"/>
          <w:lang w:eastAsia="ko-KR"/>
        </w:rPr>
      </w:pPr>
      <w:r w:rsidRPr="00A31ADE">
        <w:rPr>
          <w:rFonts w:ascii="Calibri" w:hAnsi="Calibri"/>
          <w:lang w:eastAsia="ko-KR"/>
        </w:rPr>
        <w:t>Revised performance standards for Electronic Chart Display and Information Systems (ECDIS) (MSC.530(106)/Rev.1).</w:t>
      </w:r>
    </w:p>
    <w:p w14:paraId="29239503" w14:textId="77777777" w:rsidR="00A31ADE" w:rsidRPr="00A31ADE" w:rsidRDefault="00A31ADE" w:rsidP="00A31ADE">
      <w:pPr>
        <w:pStyle w:val="BodyText"/>
        <w:numPr>
          <w:ilvl w:val="0"/>
          <w:numId w:val="26"/>
        </w:numPr>
        <w:rPr>
          <w:rFonts w:ascii="Calibri" w:hAnsi="Calibri"/>
          <w:lang w:eastAsia="ko-KR"/>
        </w:rPr>
      </w:pPr>
      <w:r w:rsidRPr="00A31ADE">
        <w:rPr>
          <w:rFonts w:ascii="Calibri" w:hAnsi="Calibri"/>
          <w:lang w:eastAsia="ko-KR"/>
        </w:rPr>
        <w:t>Joint IMO/IHO/WMO Manual on Maritime Safety Information (MSC.1/Circ.1310/Rev.2), to be implemented from 1 January 2025.</w:t>
      </w:r>
    </w:p>
    <w:p w14:paraId="55186EE7" w14:textId="77777777" w:rsidR="00A31ADE" w:rsidRPr="00A31ADE" w:rsidRDefault="00A31ADE" w:rsidP="00A31ADE">
      <w:pPr>
        <w:pStyle w:val="BodyText"/>
        <w:numPr>
          <w:ilvl w:val="0"/>
          <w:numId w:val="26"/>
        </w:numPr>
        <w:rPr>
          <w:rFonts w:ascii="Calibri" w:hAnsi="Calibri"/>
          <w:lang w:eastAsia="ko-KR"/>
        </w:rPr>
      </w:pPr>
      <w:r w:rsidRPr="00A31ADE">
        <w:rPr>
          <w:rFonts w:ascii="Calibri" w:hAnsi="Calibri"/>
          <w:lang w:eastAsia="ko-KR"/>
        </w:rPr>
        <w:t>Draft SN circular on the IALA Maritime Buoyage System, revising and revoking SN.1/Circ.297.</w:t>
      </w:r>
    </w:p>
    <w:p w14:paraId="21897687" w14:textId="4D884F54" w:rsidR="00A31ADE" w:rsidRPr="00A31ADE" w:rsidRDefault="00A31ADE" w:rsidP="000E7981">
      <w:pPr>
        <w:pStyle w:val="BodyText"/>
        <w:numPr>
          <w:ilvl w:val="0"/>
          <w:numId w:val="26"/>
        </w:numPr>
        <w:rPr>
          <w:rFonts w:ascii="Calibri" w:hAnsi="Calibri"/>
          <w:lang w:eastAsia="ko-KR"/>
        </w:rPr>
      </w:pPr>
      <w:r w:rsidRPr="00A31ADE">
        <w:rPr>
          <w:rFonts w:ascii="Calibri" w:hAnsi="Calibri"/>
          <w:lang w:eastAsia="ko-KR"/>
        </w:rPr>
        <w:t>Draft SN circular on the IALA Risk Management Toolbox for aids to navigation and vessel traffic services, revising and revoking SN.1/Circ.296.</w:t>
      </w:r>
    </w:p>
    <w:p w14:paraId="7A8D2F27" w14:textId="77777777" w:rsidR="00A446C9" w:rsidRPr="007A395D" w:rsidRDefault="00A446C9" w:rsidP="00605E43">
      <w:pPr>
        <w:pStyle w:val="Heading1"/>
      </w:pPr>
      <w:r w:rsidRPr="007A395D">
        <w:t>Action requested of the Committee</w:t>
      </w:r>
    </w:p>
    <w:p w14:paraId="500F3346" w14:textId="1E200C4F" w:rsidR="002300CD" w:rsidRPr="00516430" w:rsidRDefault="00394293" w:rsidP="00516430">
      <w:pPr>
        <w:pStyle w:val="Heading4"/>
        <w:numPr>
          <w:ilvl w:val="0"/>
          <w:numId w:val="0"/>
        </w:numPr>
        <w:rPr>
          <w:rFonts w:asciiTheme="minorHAnsi" w:hAnsiTheme="minorHAnsi" w:cstheme="minorHAnsi"/>
        </w:rPr>
      </w:pPr>
      <w:r w:rsidRPr="00233F46">
        <w:rPr>
          <w:rFonts w:asciiTheme="minorHAnsi" w:hAnsiTheme="minorHAnsi" w:cstheme="minorHAnsi"/>
          <w:b/>
          <w:bCs/>
        </w:rPr>
        <w:t>Note</w:t>
      </w:r>
      <w:r w:rsidRPr="00394293">
        <w:rPr>
          <w:rFonts w:asciiTheme="minorHAnsi" w:hAnsiTheme="minorHAnsi" w:cstheme="minorHAnsi"/>
        </w:rPr>
        <w:t xml:space="preserve"> </w:t>
      </w:r>
      <w:r w:rsidRPr="00394293">
        <w:rPr>
          <w:rFonts w:asciiTheme="minorHAnsi" w:hAnsiTheme="minorHAnsi" w:cstheme="minorHAnsi"/>
          <w:bCs/>
        </w:rPr>
        <w:t>the information provided.</w:t>
      </w:r>
      <w:r w:rsidRPr="00394293">
        <w:rPr>
          <w:rFonts w:asciiTheme="minorHAnsi" w:hAnsiTheme="minorHAnsi" w:cstheme="minorHAnsi"/>
        </w:rPr>
        <w:t xml:space="preserve"> </w:t>
      </w:r>
    </w:p>
    <w:sectPr w:rsidR="002300CD" w:rsidRPr="00516430"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CC50CE" w14:textId="77777777" w:rsidR="00DF7BB9" w:rsidRDefault="00DF7BB9" w:rsidP="00362CD9">
      <w:r>
        <w:separator/>
      </w:r>
    </w:p>
  </w:endnote>
  <w:endnote w:type="continuationSeparator" w:id="0">
    <w:p w14:paraId="3614D5A8" w14:textId="77777777" w:rsidR="00DF7BB9" w:rsidRDefault="00DF7BB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3DA91EB8"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2378B9" w14:textId="77777777" w:rsidR="00DF7BB9" w:rsidRDefault="00DF7BB9" w:rsidP="00362CD9">
      <w:r>
        <w:separator/>
      </w:r>
    </w:p>
  </w:footnote>
  <w:footnote w:type="continuationSeparator" w:id="0">
    <w:p w14:paraId="7F662730" w14:textId="77777777" w:rsidR="00DF7BB9" w:rsidRDefault="00DF7BB9"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7CBBFFC9"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14A3718B">
          <wp:simplePos x="0" y="0"/>
          <wp:positionH relativeFrom="column">
            <wp:posOffset>5533390</wp:posOffset>
          </wp:positionH>
          <wp:positionV relativeFrom="paragraph">
            <wp:posOffset>-294005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27B5BF93"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A0E59"/>
    <w:multiLevelType w:val="hybridMultilevel"/>
    <w:tmpl w:val="21681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766228"/>
    <w:multiLevelType w:val="hybridMultilevel"/>
    <w:tmpl w:val="8146B8D8"/>
    <w:lvl w:ilvl="0" w:tplc="88300844">
      <w:start w:val="5"/>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C4D7923"/>
    <w:multiLevelType w:val="multilevel"/>
    <w:tmpl w:val="0106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8FF51F2"/>
    <w:multiLevelType w:val="hybridMultilevel"/>
    <w:tmpl w:val="FEF6D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15:restartNumberingAfterBreak="0">
    <w:nsid w:val="40577EBD"/>
    <w:multiLevelType w:val="multilevel"/>
    <w:tmpl w:val="C33E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7555B09"/>
    <w:multiLevelType w:val="multilevel"/>
    <w:tmpl w:val="7FB2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57BF107C"/>
    <w:multiLevelType w:val="hybridMultilevel"/>
    <w:tmpl w:val="626C3432"/>
    <w:lvl w:ilvl="0" w:tplc="36FA7D74">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F171DD7"/>
    <w:multiLevelType w:val="hybridMultilevel"/>
    <w:tmpl w:val="D17AD094"/>
    <w:lvl w:ilvl="0" w:tplc="6DACD67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22D7D1A"/>
    <w:multiLevelType w:val="hybridMultilevel"/>
    <w:tmpl w:val="30768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EB667B5"/>
    <w:multiLevelType w:val="multilevel"/>
    <w:tmpl w:val="B4665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57667">
    <w:abstractNumId w:val="20"/>
  </w:num>
  <w:num w:numId="2" w16cid:durableId="273825793">
    <w:abstractNumId w:val="15"/>
  </w:num>
  <w:num w:numId="3" w16cid:durableId="542251113">
    <w:abstractNumId w:val="3"/>
  </w:num>
  <w:num w:numId="4" w16cid:durableId="441730938">
    <w:abstractNumId w:val="22"/>
  </w:num>
  <w:num w:numId="5" w16cid:durableId="953445795">
    <w:abstractNumId w:val="8"/>
  </w:num>
  <w:num w:numId="6" w16cid:durableId="711656638">
    <w:abstractNumId w:val="7"/>
  </w:num>
  <w:num w:numId="7" w16cid:durableId="961574725">
    <w:abstractNumId w:val="17"/>
  </w:num>
  <w:num w:numId="8" w16cid:durableId="1279677472">
    <w:abstractNumId w:val="16"/>
  </w:num>
  <w:num w:numId="9" w16cid:durableId="719592543">
    <w:abstractNumId w:val="21"/>
  </w:num>
  <w:num w:numId="10" w16cid:durableId="277414519">
    <w:abstractNumId w:val="6"/>
  </w:num>
  <w:num w:numId="11" w16cid:durableId="1446535492">
    <w:abstractNumId w:val="18"/>
  </w:num>
  <w:num w:numId="12" w16cid:durableId="868035018">
    <w:abstractNumId w:val="12"/>
  </w:num>
  <w:num w:numId="13" w16cid:durableId="2026443237">
    <w:abstractNumId w:val="10"/>
  </w:num>
  <w:num w:numId="14" w16cid:durableId="274875165">
    <w:abstractNumId w:val="4"/>
  </w:num>
  <w:num w:numId="15" w16cid:durableId="921598306">
    <w:abstractNumId w:val="14"/>
  </w:num>
  <w:num w:numId="16" w16cid:durableId="36123212">
    <w:abstractNumId w:val="1"/>
  </w:num>
  <w:num w:numId="17" w16cid:durableId="1787429411">
    <w:abstractNumId w:val="23"/>
  </w:num>
  <w:num w:numId="18" w16cid:durableId="2080639164">
    <w:abstractNumId w:val="9"/>
  </w:num>
  <w:num w:numId="19" w16cid:durableId="341519012">
    <w:abstractNumId w:val="11"/>
  </w:num>
  <w:num w:numId="20" w16cid:durableId="1387992271">
    <w:abstractNumId w:val="24"/>
  </w:num>
  <w:num w:numId="21" w16cid:durableId="1799642806">
    <w:abstractNumId w:val="13"/>
  </w:num>
  <w:num w:numId="22" w16cid:durableId="1829125166">
    <w:abstractNumId w:val="0"/>
  </w:num>
  <w:num w:numId="23" w16cid:durableId="707485253">
    <w:abstractNumId w:val="5"/>
  </w:num>
  <w:num w:numId="24" w16cid:durableId="1167746315">
    <w:abstractNumId w:val="19"/>
  </w:num>
  <w:num w:numId="25" w16cid:durableId="1008673221">
    <w:abstractNumId w:val="2"/>
  </w:num>
  <w:num w:numId="26" w16cid:durableId="1427311413">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6"/>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MDQxtzQ0tDAzMjJV0lEKTi0uzszPAykwrQUABjn4kywAAAA="/>
  </w:docVars>
  <w:rsids>
    <w:rsidRoot w:val="00FE5674"/>
    <w:rsid w:val="000005D3"/>
    <w:rsid w:val="000049D8"/>
    <w:rsid w:val="000205EE"/>
    <w:rsid w:val="00026AAB"/>
    <w:rsid w:val="00036A03"/>
    <w:rsid w:val="00036B9E"/>
    <w:rsid w:val="00037DF4"/>
    <w:rsid w:val="0004700E"/>
    <w:rsid w:val="00066B85"/>
    <w:rsid w:val="00070C13"/>
    <w:rsid w:val="000715C9"/>
    <w:rsid w:val="00081FC9"/>
    <w:rsid w:val="00082035"/>
    <w:rsid w:val="00084F33"/>
    <w:rsid w:val="000A77A7"/>
    <w:rsid w:val="000B1707"/>
    <w:rsid w:val="000B5DA4"/>
    <w:rsid w:val="000C0F74"/>
    <w:rsid w:val="000C1B3E"/>
    <w:rsid w:val="000C349E"/>
    <w:rsid w:val="000D31B5"/>
    <w:rsid w:val="000E7981"/>
    <w:rsid w:val="000F0C27"/>
    <w:rsid w:val="00103FFF"/>
    <w:rsid w:val="0010494D"/>
    <w:rsid w:val="00110AE7"/>
    <w:rsid w:val="0012231B"/>
    <w:rsid w:val="00123081"/>
    <w:rsid w:val="00165F02"/>
    <w:rsid w:val="00177F4D"/>
    <w:rsid w:val="00180DDA"/>
    <w:rsid w:val="001A1520"/>
    <w:rsid w:val="001B2A2D"/>
    <w:rsid w:val="001B737D"/>
    <w:rsid w:val="001C44A3"/>
    <w:rsid w:val="001E0E15"/>
    <w:rsid w:val="001F528A"/>
    <w:rsid w:val="001F704E"/>
    <w:rsid w:val="001F733C"/>
    <w:rsid w:val="00201722"/>
    <w:rsid w:val="00202F66"/>
    <w:rsid w:val="002125B0"/>
    <w:rsid w:val="002300CD"/>
    <w:rsid w:val="00233F46"/>
    <w:rsid w:val="00243228"/>
    <w:rsid w:val="00251483"/>
    <w:rsid w:val="00255CAA"/>
    <w:rsid w:val="00264305"/>
    <w:rsid w:val="0027236F"/>
    <w:rsid w:val="002734B4"/>
    <w:rsid w:val="002853AE"/>
    <w:rsid w:val="0028701D"/>
    <w:rsid w:val="002A0346"/>
    <w:rsid w:val="002A32F2"/>
    <w:rsid w:val="002A4487"/>
    <w:rsid w:val="002B441C"/>
    <w:rsid w:val="002B49E9"/>
    <w:rsid w:val="002C632E"/>
    <w:rsid w:val="002D3E8B"/>
    <w:rsid w:val="002D4575"/>
    <w:rsid w:val="002D5C0C"/>
    <w:rsid w:val="002E03D1"/>
    <w:rsid w:val="002E6B74"/>
    <w:rsid w:val="002E6FCA"/>
    <w:rsid w:val="00356CD0"/>
    <w:rsid w:val="00361C9E"/>
    <w:rsid w:val="00362CD9"/>
    <w:rsid w:val="003761CA"/>
    <w:rsid w:val="00380DAF"/>
    <w:rsid w:val="00394293"/>
    <w:rsid w:val="00397015"/>
    <w:rsid w:val="003972CE"/>
    <w:rsid w:val="003B28F5"/>
    <w:rsid w:val="003B390E"/>
    <w:rsid w:val="003B7B7D"/>
    <w:rsid w:val="003C54CB"/>
    <w:rsid w:val="003C7A2A"/>
    <w:rsid w:val="003D2DC1"/>
    <w:rsid w:val="003D69D0"/>
    <w:rsid w:val="003F2918"/>
    <w:rsid w:val="003F430E"/>
    <w:rsid w:val="0041088C"/>
    <w:rsid w:val="00412DD0"/>
    <w:rsid w:val="00413E93"/>
    <w:rsid w:val="00420A38"/>
    <w:rsid w:val="00424EDC"/>
    <w:rsid w:val="00425D98"/>
    <w:rsid w:val="00431B19"/>
    <w:rsid w:val="004661AD"/>
    <w:rsid w:val="004A6C1D"/>
    <w:rsid w:val="004B6F02"/>
    <w:rsid w:val="004D1D85"/>
    <w:rsid w:val="004D3C3A"/>
    <w:rsid w:val="004E1CD1"/>
    <w:rsid w:val="004E21B8"/>
    <w:rsid w:val="004F7EFC"/>
    <w:rsid w:val="0050787B"/>
    <w:rsid w:val="005107EB"/>
    <w:rsid w:val="00511277"/>
    <w:rsid w:val="00516430"/>
    <w:rsid w:val="00521345"/>
    <w:rsid w:val="00523A26"/>
    <w:rsid w:val="00526DF0"/>
    <w:rsid w:val="00535139"/>
    <w:rsid w:val="0054063B"/>
    <w:rsid w:val="00545CC4"/>
    <w:rsid w:val="00551FFF"/>
    <w:rsid w:val="005607A2"/>
    <w:rsid w:val="0057198B"/>
    <w:rsid w:val="00573CFE"/>
    <w:rsid w:val="0057460F"/>
    <w:rsid w:val="005969F2"/>
    <w:rsid w:val="00597FAE"/>
    <w:rsid w:val="005B32A3"/>
    <w:rsid w:val="005C0D44"/>
    <w:rsid w:val="005C3CA6"/>
    <w:rsid w:val="005C566C"/>
    <w:rsid w:val="005C7E69"/>
    <w:rsid w:val="005E14F5"/>
    <w:rsid w:val="005E262D"/>
    <w:rsid w:val="005E6CE2"/>
    <w:rsid w:val="005F23D3"/>
    <w:rsid w:val="005F7E20"/>
    <w:rsid w:val="00605E43"/>
    <w:rsid w:val="006113E8"/>
    <w:rsid w:val="006133EC"/>
    <w:rsid w:val="006153BB"/>
    <w:rsid w:val="00632874"/>
    <w:rsid w:val="00652409"/>
    <w:rsid w:val="00662239"/>
    <w:rsid w:val="00664189"/>
    <w:rsid w:val="006646C0"/>
    <w:rsid w:val="006652C3"/>
    <w:rsid w:val="00667C97"/>
    <w:rsid w:val="00691FD0"/>
    <w:rsid w:val="00692148"/>
    <w:rsid w:val="006A1A1E"/>
    <w:rsid w:val="006B5337"/>
    <w:rsid w:val="006C5948"/>
    <w:rsid w:val="006D3734"/>
    <w:rsid w:val="006E052C"/>
    <w:rsid w:val="006E30FD"/>
    <w:rsid w:val="006F2A74"/>
    <w:rsid w:val="006F46B5"/>
    <w:rsid w:val="007000D4"/>
    <w:rsid w:val="007118F5"/>
    <w:rsid w:val="00712AA4"/>
    <w:rsid w:val="007146C4"/>
    <w:rsid w:val="007155EB"/>
    <w:rsid w:val="00721AA1"/>
    <w:rsid w:val="00724B67"/>
    <w:rsid w:val="00726291"/>
    <w:rsid w:val="007523D0"/>
    <w:rsid w:val="007547F8"/>
    <w:rsid w:val="00765622"/>
    <w:rsid w:val="00770B6C"/>
    <w:rsid w:val="00772A62"/>
    <w:rsid w:val="00783FEA"/>
    <w:rsid w:val="0079067F"/>
    <w:rsid w:val="007A395D"/>
    <w:rsid w:val="007A4B82"/>
    <w:rsid w:val="007B6BD5"/>
    <w:rsid w:val="007C346C"/>
    <w:rsid w:val="007D01F9"/>
    <w:rsid w:val="007D2EEA"/>
    <w:rsid w:val="007E6479"/>
    <w:rsid w:val="0080294B"/>
    <w:rsid w:val="00804EAE"/>
    <w:rsid w:val="008056B3"/>
    <w:rsid w:val="0082480E"/>
    <w:rsid w:val="00830BD5"/>
    <w:rsid w:val="00845603"/>
    <w:rsid w:val="00850293"/>
    <w:rsid w:val="00851373"/>
    <w:rsid w:val="00851BA6"/>
    <w:rsid w:val="0085654D"/>
    <w:rsid w:val="00861160"/>
    <w:rsid w:val="0086654F"/>
    <w:rsid w:val="00875A8E"/>
    <w:rsid w:val="008A03FE"/>
    <w:rsid w:val="008A356F"/>
    <w:rsid w:val="008A4653"/>
    <w:rsid w:val="008A4717"/>
    <w:rsid w:val="008A50CC"/>
    <w:rsid w:val="008B3040"/>
    <w:rsid w:val="008B7A56"/>
    <w:rsid w:val="008C574F"/>
    <w:rsid w:val="008C673F"/>
    <w:rsid w:val="008D1694"/>
    <w:rsid w:val="008D6C1F"/>
    <w:rsid w:val="008D79CB"/>
    <w:rsid w:val="008E3448"/>
    <w:rsid w:val="008F07BC"/>
    <w:rsid w:val="008F67E9"/>
    <w:rsid w:val="00903ABD"/>
    <w:rsid w:val="00905BF1"/>
    <w:rsid w:val="00914CCD"/>
    <w:rsid w:val="0091760D"/>
    <w:rsid w:val="00926318"/>
    <w:rsid w:val="0092692B"/>
    <w:rsid w:val="00930561"/>
    <w:rsid w:val="00943E9C"/>
    <w:rsid w:val="00953F4D"/>
    <w:rsid w:val="00960BB8"/>
    <w:rsid w:val="00964F5C"/>
    <w:rsid w:val="009724EA"/>
    <w:rsid w:val="00973B57"/>
    <w:rsid w:val="00975900"/>
    <w:rsid w:val="00975D11"/>
    <w:rsid w:val="009831C0"/>
    <w:rsid w:val="00985CF0"/>
    <w:rsid w:val="0099161D"/>
    <w:rsid w:val="009974D4"/>
    <w:rsid w:val="009B57CD"/>
    <w:rsid w:val="009B7BC4"/>
    <w:rsid w:val="009D3E6C"/>
    <w:rsid w:val="009D7F73"/>
    <w:rsid w:val="009E69F7"/>
    <w:rsid w:val="00A0389B"/>
    <w:rsid w:val="00A06552"/>
    <w:rsid w:val="00A31ADE"/>
    <w:rsid w:val="00A33A3C"/>
    <w:rsid w:val="00A4190E"/>
    <w:rsid w:val="00A446C9"/>
    <w:rsid w:val="00A45295"/>
    <w:rsid w:val="00A635D6"/>
    <w:rsid w:val="00A8553A"/>
    <w:rsid w:val="00A93AED"/>
    <w:rsid w:val="00A975D7"/>
    <w:rsid w:val="00AA6709"/>
    <w:rsid w:val="00AE1319"/>
    <w:rsid w:val="00AE34BB"/>
    <w:rsid w:val="00B15B65"/>
    <w:rsid w:val="00B226F2"/>
    <w:rsid w:val="00B274DF"/>
    <w:rsid w:val="00B52706"/>
    <w:rsid w:val="00B56BDF"/>
    <w:rsid w:val="00B65812"/>
    <w:rsid w:val="00B70096"/>
    <w:rsid w:val="00B70900"/>
    <w:rsid w:val="00B766DC"/>
    <w:rsid w:val="00B85CD6"/>
    <w:rsid w:val="00B90A27"/>
    <w:rsid w:val="00B9554D"/>
    <w:rsid w:val="00BB2B9F"/>
    <w:rsid w:val="00BB3375"/>
    <w:rsid w:val="00BB7D9E"/>
    <w:rsid w:val="00BC2334"/>
    <w:rsid w:val="00BD3CB8"/>
    <w:rsid w:val="00BD4E6F"/>
    <w:rsid w:val="00BE195A"/>
    <w:rsid w:val="00BF32F0"/>
    <w:rsid w:val="00BF4DCE"/>
    <w:rsid w:val="00C05CE5"/>
    <w:rsid w:val="00C235B3"/>
    <w:rsid w:val="00C6171E"/>
    <w:rsid w:val="00C6238B"/>
    <w:rsid w:val="00C71042"/>
    <w:rsid w:val="00C9159C"/>
    <w:rsid w:val="00CA6F2C"/>
    <w:rsid w:val="00CC28BF"/>
    <w:rsid w:val="00CC3E50"/>
    <w:rsid w:val="00CD6A13"/>
    <w:rsid w:val="00CF1871"/>
    <w:rsid w:val="00CF30C4"/>
    <w:rsid w:val="00D01874"/>
    <w:rsid w:val="00D019CE"/>
    <w:rsid w:val="00D1133E"/>
    <w:rsid w:val="00D17A34"/>
    <w:rsid w:val="00D26628"/>
    <w:rsid w:val="00D332B3"/>
    <w:rsid w:val="00D34EE9"/>
    <w:rsid w:val="00D55207"/>
    <w:rsid w:val="00D72454"/>
    <w:rsid w:val="00D727C1"/>
    <w:rsid w:val="00D75C74"/>
    <w:rsid w:val="00D8141D"/>
    <w:rsid w:val="00D81801"/>
    <w:rsid w:val="00D92B45"/>
    <w:rsid w:val="00D95962"/>
    <w:rsid w:val="00DA7EAB"/>
    <w:rsid w:val="00DB4453"/>
    <w:rsid w:val="00DC389B"/>
    <w:rsid w:val="00DE2FEE"/>
    <w:rsid w:val="00DF1467"/>
    <w:rsid w:val="00DF7BB9"/>
    <w:rsid w:val="00E00BE9"/>
    <w:rsid w:val="00E22A11"/>
    <w:rsid w:val="00E306E9"/>
    <w:rsid w:val="00E30C3F"/>
    <w:rsid w:val="00E31E5C"/>
    <w:rsid w:val="00E44DD2"/>
    <w:rsid w:val="00E558C3"/>
    <w:rsid w:val="00E55927"/>
    <w:rsid w:val="00E60540"/>
    <w:rsid w:val="00E6611D"/>
    <w:rsid w:val="00E66B50"/>
    <w:rsid w:val="00E77122"/>
    <w:rsid w:val="00E912A6"/>
    <w:rsid w:val="00EA4844"/>
    <w:rsid w:val="00EA4D9C"/>
    <w:rsid w:val="00EA5A97"/>
    <w:rsid w:val="00EB2248"/>
    <w:rsid w:val="00EB75EE"/>
    <w:rsid w:val="00EC441B"/>
    <w:rsid w:val="00EC44CB"/>
    <w:rsid w:val="00EE3CC5"/>
    <w:rsid w:val="00EE4C1D"/>
    <w:rsid w:val="00EF3685"/>
    <w:rsid w:val="00EF6B96"/>
    <w:rsid w:val="00F0010F"/>
    <w:rsid w:val="00F0044D"/>
    <w:rsid w:val="00F03808"/>
    <w:rsid w:val="00F04350"/>
    <w:rsid w:val="00F10A65"/>
    <w:rsid w:val="00F133DB"/>
    <w:rsid w:val="00F155E1"/>
    <w:rsid w:val="00F159EB"/>
    <w:rsid w:val="00F25BF4"/>
    <w:rsid w:val="00F267DB"/>
    <w:rsid w:val="00F46F6F"/>
    <w:rsid w:val="00F503E8"/>
    <w:rsid w:val="00F60409"/>
    <w:rsid w:val="00F60608"/>
    <w:rsid w:val="00F62217"/>
    <w:rsid w:val="00FA255C"/>
    <w:rsid w:val="00FB17A9"/>
    <w:rsid w:val="00FB397A"/>
    <w:rsid w:val="00FB527C"/>
    <w:rsid w:val="00FB6F75"/>
    <w:rsid w:val="00FC0EB3"/>
    <w:rsid w:val="00FD675E"/>
    <w:rsid w:val="00FE41D1"/>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unhideWhenUsed/>
    <w:rsid w:val="00DB4453"/>
    <w:pPr>
      <w:spacing w:before="100" w:beforeAutospacing="1" w:after="100" w:afterAutospacing="1"/>
    </w:pPr>
    <w:rPr>
      <w:rFonts w:ascii="Times New Roman" w:eastAsia="Times New Roman" w:hAnsi="Times New Roman" w:cs="Times New Roman"/>
      <w:sz w:val="24"/>
      <w:szCs w:val="24"/>
      <w:lang w:eastAsia="ko-KR"/>
    </w:rPr>
  </w:style>
  <w:style w:type="character" w:styleId="Emphasis">
    <w:name w:val="Emphasis"/>
    <w:basedOn w:val="DefaultParagraphFont"/>
    <w:uiPriority w:val="20"/>
    <w:qFormat/>
    <w:rsid w:val="0012231B"/>
    <w:rPr>
      <w:i/>
      <w:iCs/>
    </w:rPr>
  </w:style>
  <w:style w:type="character" w:styleId="Strong">
    <w:name w:val="Strong"/>
    <w:basedOn w:val="DefaultParagraphFont"/>
    <w:uiPriority w:val="22"/>
    <w:qFormat/>
    <w:rsid w:val="00726291"/>
    <w:rPr>
      <w:b/>
      <w:bCs/>
    </w:rPr>
  </w:style>
  <w:style w:type="paragraph" w:customStyle="1" w:styleId="Default">
    <w:name w:val="Default"/>
    <w:rsid w:val="00C6238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43758">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236595374">
      <w:bodyDiv w:val="1"/>
      <w:marLeft w:val="0"/>
      <w:marRight w:val="0"/>
      <w:marTop w:val="0"/>
      <w:marBottom w:val="0"/>
      <w:divBdr>
        <w:top w:val="none" w:sz="0" w:space="0" w:color="auto"/>
        <w:left w:val="none" w:sz="0" w:space="0" w:color="auto"/>
        <w:bottom w:val="none" w:sz="0" w:space="0" w:color="auto"/>
        <w:right w:val="none" w:sz="0" w:space="0" w:color="auto"/>
      </w:divBdr>
    </w:div>
    <w:div w:id="318770983">
      <w:bodyDiv w:val="1"/>
      <w:marLeft w:val="0"/>
      <w:marRight w:val="0"/>
      <w:marTop w:val="0"/>
      <w:marBottom w:val="0"/>
      <w:divBdr>
        <w:top w:val="none" w:sz="0" w:space="0" w:color="auto"/>
        <w:left w:val="none" w:sz="0" w:space="0" w:color="auto"/>
        <w:bottom w:val="none" w:sz="0" w:space="0" w:color="auto"/>
        <w:right w:val="none" w:sz="0" w:space="0" w:color="auto"/>
      </w:divBdr>
    </w:div>
    <w:div w:id="406154471">
      <w:bodyDiv w:val="1"/>
      <w:marLeft w:val="0"/>
      <w:marRight w:val="0"/>
      <w:marTop w:val="0"/>
      <w:marBottom w:val="0"/>
      <w:divBdr>
        <w:top w:val="none" w:sz="0" w:space="0" w:color="auto"/>
        <w:left w:val="none" w:sz="0" w:space="0" w:color="auto"/>
        <w:bottom w:val="none" w:sz="0" w:space="0" w:color="auto"/>
        <w:right w:val="none" w:sz="0" w:space="0" w:color="auto"/>
      </w:divBdr>
    </w:div>
    <w:div w:id="489836414">
      <w:bodyDiv w:val="1"/>
      <w:marLeft w:val="0"/>
      <w:marRight w:val="0"/>
      <w:marTop w:val="0"/>
      <w:marBottom w:val="0"/>
      <w:divBdr>
        <w:top w:val="none" w:sz="0" w:space="0" w:color="auto"/>
        <w:left w:val="none" w:sz="0" w:space="0" w:color="auto"/>
        <w:bottom w:val="none" w:sz="0" w:space="0" w:color="auto"/>
        <w:right w:val="none" w:sz="0" w:space="0" w:color="auto"/>
      </w:divBdr>
    </w:div>
    <w:div w:id="689379016">
      <w:bodyDiv w:val="1"/>
      <w:marLeft w:val="0"/>
      <w:marRight w:val="0"/>
      <w:marTop w:val="0"/>
      <w:marBottom w:val="0"/>
      <w:divBdr>
        <w:top w:val="none" w:sz="0" w:space="0" w:color="auto"/>
        <w:left w:val="none" w:sz="0" w:space="0" w:color="auto"/>
        <w:bottom w:val="none" w:sz="0" w:space="0" w:color="auto"/>
        <w:right w:val="none" w:sz="0" w:space="0" w:color="auto"/>
      </w:divBdr>
    </w:div>
    <w:div w:id="760881200">
      <w:bodyDiv w:val="1"/>
      <w:marLeft w:val="0"/>
      <w:marRight w:val="0"/>
      <w:marTop w:val="0"/>
      <w:marBottom w:val="0"/>
      <w:divBdr>
        <w:top w:val="none" w:sz="0" w:space="0" w:color="auto"/>
        <w:left w:val="none" w:sz="0" w:space="0" w:color="auto"/>
        <w:bottom w:val="none" w:sz="0" w:space="0" w:color="auto"/>
        <w:right w:val="none" w:sz="0" w:space="0" w:color="auto"/>
      </w:divBdr>
    </w:div>
    <w:div w:id="839351902">
      <w:bodyDiv w:val="1"/>
      <w:marLeft w:val="0"/>
      <w:marRight w:val="0"/>
      <w:marTop w:val="0"/>
      <w:marBottom w:val="0"/>
      <w:divBdr>
        <w:top w:val="none" w:sz="0" w:space="0" w:color="auto"/>
        <w:left w:val="none" w:sz="0" w:space="0" w:color="auto"/>
        <w:bottom w:val="none" w:sz="0" w:space="0" w:color="auto"/>
        <w:right w:val="none" w:sz="0" w:space="0" w:color="auto"/>
      </w:divBdr>
    </w:div>
    <w:div w:id="871114815">
      <w:bodyDiv w:val="1"/>
      <w:marLeft w:val="0"/>
      <w:marRight w:val="0"/>
      <w:marTop w:val="0"/>
      <w:marBottom w:val="0"/>
      <w:divBdr>
        <w:top w:val="none" w:sz="0" w:space="0" w:color="auto"/>
        <w:left w:val="none" w:sz="0" w:space="0" w:color="auto"/>
        <w:bottom w:val="none" w:sz="0" w:space="0" w:color="auto"/>
        <w:right w:val="none" w:sz="0" w:space="0" w:color="auto"/>
      </w:divBdr>
    </w:div>
    <w:div w:id="1051687022">
      <w:bodyDiv w:val="1"/>
      <w:marLeft w:val="0"/>
      <w:marRight w:val="0"/>
      <w:marTop w:val="0"/>
      <w:marBottom w:val="0"/>
      <w:divBdr>
        <w:top w:val="none" w:sz="0" w:space="0" w:color="auto"/>
        <w:left w:val="none" w:sz="0" w:space="0" w:color="auto"/>
        <w:bottom w:val="none" w:sz="0" w:space="0" w:color="auto"/>
        <w:right w:val="none" w:sz="0" w:space="0" w:color="auto"/>
      </w:divBdr>
    </w:div>
    <w:div w:id="1193610552">
      <w:bodyDiv w:val="1"/>
      <w:marLeft w:val="0"/>
      <w:marRight w:val="0"/>
      <w:marTop w:val="0"/>
      <w:marBottom w:val="0"/>
      <w:divBdr>
        <w:top w:val="none" w:sz="0" w:space="0" w:color="auto"/>
        <w:left w:val="none" w:sz="0" w:space="0" w:color="auto"/>
        <w:bottom w:val="none" w:sz="0" w:space="0" w:color="auto"/>
        <w:right w:val="none" w:sz="0" w:space="0" w:color="auto"/>
      </w:divBdr>
    </w:div>
    <w:div w:id="1303273092">
      <w:bodyDiv w:val="1"/>
      <w:marLeft w:val="0"/>
      <w:marRight w:val="0"/>
      <w:marTop w:val="0"/>
      <w:marBottom w:val="0"/>
      <w:divBdr>
        <w:top w:val="none" w:sz="0" w:space="0" w:color="auto"/>
        <w:left w:val="none" w:sz="0" w:space="0" w:color="auto"/>
        <w:bottom w:val="none" w:sz="0" w:space="0" w:color="auto"/>
        <w:right w:val="none" w:sz="0" w:space="0" w:color="auto"/>
      </w:divBdr>
    </w:div>
    <w:div w:id="1528713416">
      <w:bodyDiv w:val="1"/>
      <w:marLeft w:val="0"/>
      <w:marRight w:val="0"/>
      <w:marTop w:val="0"/>
      <w:marBottom w:val="0"/>
      <w:divBdr>
        <w:top w:val="none" w:sz="0" w:space="0" w:color="auto"/>
        <w:left w:val="none" w:sz="0" w:space="0" w:color="auto"/>
        <w:bottom w:val="none" w:sz="0" w:space="0" w:color="auto"/>
        <w:right w:val="none" w:sz="0" w:space="0" w:color="auto"/>
      </w:divBdr>
    </w:div>
    <w:div w:id="1598715466">
      <w:bodyDiv w:val="1"/>
      <w:marLeft w:val="0"/>
      <w:marRight w:val="0"/>
      <w:marTop w:val="0"/>
      <w:marBottom w:val="0"/>
      <w:divBdr>
        <w:top w:val="none" w:sz="0" w:space="0" w:color="auto"/>
        <w:left w:val="none" w:sz="0" w:space="0" w:color="auto"/>
        <w:bottom w:val="none" w:sz="0" w:space="0" w:color="auto"/>
        <w:right w:val="none" w:sz="0" w:space="0" w:color="auto"/>
      </w:divBdr>
    </w:div>
    <w:div w:id="1679650555">
      <w:bodyDiv w:val="1"/>
      <w:marLeft w:val="0"/>
      <w:marRight w:val="0"/>
      <w:marTop w:val="0"/>
      <w:marBottom w:val="0"/>
      <w:divBdr>
        <w:top w:val="none" w:sz="0" w:space="0" w:color="auto"/>
        <w:left w:val="none" w:sz="0" w:space="0" w:color="auto"/>
        <w:bottom w:val="none" w:sz="0" w:space="0" w:color="auto"/>
        <w:right w:val="none" w:sz="0" w:space="0" w:color="auto"/>
      </w:divBdr>
    </w:div>
    <w:div w:id="1703162813">
      <w:bodyDiv w:val="1"/>
      <w:marLeft w:val="0"/>
      <w:marRight w:val="0"/>
      <w:marTop w:val="0"/>
      <w:marBottom w:val="0"/>
      <w:divBdr>
        <w:top w:val="none" w:sz="0" w:space="0" w:color="auto"/>
        <w:left w:val="none" w:sz="0" w:space="0" w:color="auto"/>
        <w:bottom w:val="none" w:sz="0" w:space="0" w:color="auto"/>
        <w:right w:val="none" w:sz="0" w:space="0" w:color="auto"/>
      </w:divBdr>
    </w:div>
    <w:div w:id="1800955468">
      <w:bodyDiv w:val="1"/>
      <w:marLeft w:val="0"/>
      <w:marRight w:val="0"/>
      <w:marTop w:val="0"/>
      <w:marBottom w:val="0"/>
      <w:divBdr>
        <w:top w:val="none" w:sz="0" w:space="0" w:color="auto"/>
        <w:left w:val="none" w:sz="0" w:space="0" w:color="auto"/>
        <w:bottom w:val="none" w:sz="0" w:space="0" w:color="auto"/>
        <w:right w:val="none" w:sz="0" w:space="0" w:color="auto"/>
      </w:divBdr>
    </w:div>
    <w:div w:id="1864442351">
      <w:bodyDiv w:val="1"/>
      <w:marLeft w:val="0"/>
      <w:marRight w:val="0"/>
      <w:marTop w:val="0"/>
      <w:marBottom w:val="0"/>
      <w:divBdr>
        <w:top w:val="none" w:sz="0" w:space="0" w:color="auto"/>
        <w:left w:val="none" w:sz="0" w:space="0" w:color="auto"/>
        <w:bottom w:val="none" w:sz="0" w:space="0" w:color="auto"/>
        <w:right w:val="none" w:sz="0" w:space="0" w:color="auto"/>
      </w:divBdr>
    </w:div>
    <w:div w:id="1922987299">
      <w:bodyDiv w:val="1"/>
      <w:marLeft w:val="0"/>
      <w:marRight w:val="0"/>
      <w:marTop w:val="0"/>
      <w:marBottom w:val="0"/>
      <w:divBdr>
        <w:top w:val="none" w:sz="0" w:space="0" w:color="auto"/>
        <w:left w:val="none" w:sz="0" w:space="0" w:color="auto"/>
        <w:bottom w:val="none" w:sz="0" w:space="0" w:color="auto"/>
        <w:right w:val="none" w:sz="0" w:space="0" w:color="auto"/>
      </w:divBdr>
    </w:div>
    <w:div w:id="1997148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2.xml><?xml version="1.0" encoding="utf-8"?>
<ds:datastoreItem xmlns:ds="http://schemas.openxmlformats.org/officeDocument/2006/customXml" ds:itemID="{DECD7D87-52D7-4C86-AC0C-420AB99223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5238</Characters>
  <Application>Microsoft Office Word</Application>
  <DocSecurity>0</DocSecurity>
  <Lines>43</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48</cp:revision>
  <dcterms:created xsi:type="dcterms:W3CDTF">2024-06-10T13:55:00Z</dcterms:created>
  <dcterms:modified xsi:type="dcterms:W3CDTF">2025-01-28T14:30:00Z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